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C14" w:rsidRDefault="004E2C14" w:rsidP="004E2C14">
      <w:pPr>
        <w:ind w:firstLine="851"/>
        <w:jc w:val="right"/>
      </w:pPr>
      <w:r>
        <w:t>Проект приложения</w:t>
      </w:r>
    </w:p>
    <w:p w:rsidR="004E2C14" w:rsidRDefault="004E2C14" w:rsidP="004E2C14">
      <w:pPr>
        <w:ind w:firstLine="851"/>
        <w:jc w:val="right"/>
      </w:pPr>
      <w:r>
        <w:t>к Закону Ивановской области</w:t>
      </w:r>
    </w:p>
    <w:p w:rsidR="004E2C14" w:rsidRDefault="004E2C14" w:rsidP="004E2C14">
      <w:pPr>
        <w:ind w:firstLine="851"/>
        <w:jc w:val="right"/>
      </w:pPr>
      <w:r>
        <w:t>от 14.03.1997 № 7-ОЗ</w:t>
      </w:r>
    </w:p>
    <w:p w:rsidR="004E2C14" w:rsidRDefault="004E2C14" w:rsidP="004E2C14">
      <w:pPr>
        <w:ind w:firstLine="851"/>
        <w:jc w:val="right"/>
      </w:pPr>
      <w:r>
        <w:t>«О дополнительных гарантиях по</w:t>
      </w:r>
    </w:p>
    <w:p w:rsidR="004E2C14" w:rsidRDefault="004E2C14" w:rsidP="004E2C14">
      <w:pPr>
        <w:ind w:firstLine="851"/>
        <w:jc w:val="right"/>
      </w:pPr>
      <w:r>
        <w:t xml:space="preserve"> социальной поддержке детей-сирот </w:t>
      </w:r>
    </w:p>
    <w:p w:rsidR="004E2C14" w:rsidRDefault="004E2C14" w:rsidP="004E2C14">
      <w:pPr>
        <w:ind w:firstLine="851"/>
        <w:jc w:val="right"/>
      </w:pPr>
      <w:r>
        <w:t xml:space="preserve">и детей, оставшихся без попечения </w:t>
      </w:r>
    </w:p>
    <w:p w:rsidR="004E2C14" w:rsidRDefault="004E2C14" w:rsidP="004E2C14">
      <w:pPr>
        <w:ind w:firstLine="851"/>
        <w:jc w:val="right"/>
      </w:pPr>
      <w:r>
        <w:t>родителей, в Ивановской области»</w:t>
      </w:r>
    </w:p>
    <w:p w:rsidR="004E2C14" w:rsidRDefault="004E2C14" w:rsidP="004E2C14">
      <w:pPr>
        <w:jc w:val="right"/>
        <w:rPr>
          <w:highlight w:val="yellow"/>
        </w:rPr>
      </w:pPr>
    </w:p>
    <w:p w:rsidR="004E2C14" w:rsidRDefault="004E2C14" w:rsidP="004E2C14">
      <w:pPr>
        <w:jc w:val="right"/>
        <w:rPr>
          <w:highlight w:val="yellow"/>
        </w:rPr>
      </w:pPr>
    </w:p>
    <w:p w:rsidR="004E2C14" w:rsidRDefault="004E2C14" w:rsidP="004E2C14">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Методика</w:t>
      </w:r>
    </w:p>
    <w:p w:rsidR="004E2C14" w:rsidRDefault="004E2C14" w:rsidP="004E2C14">
      <w:pPr>
        <w:ind w:firstLine="709"/>
        <w:jc w:val="center"/>
        <w:rPr>
          <w:b/>
          <w:color w:val="000000"/>
          <w:sz w:val="28"/>
          <w:szCs w:val="28"/>
        </w:rPr>
      </w:pPr>
      <w:r>
        <w:rPr>
          <w:b/>
          <w:color w:val="000000"/>
          <w:sz w:val="28"/>
          <w:szCs w:val="28"/>
        </w:rPr>
        <w:t>определения общего объема субвенций, предоставляемых бюджетам городских округов, муниципальных округов и муниципальных районов Ивановской области на осуществление государственных полномочий по обеспечению жильем детей-сирот, и его распределения между городскими округами, муниципальными округами и муниципальными районами Ивановской области</w:t>
      </w:r>
    </w:p>
    <w:p w:rsidR="004E2C14" w:rsidRDefault="004E2C14" w:rsidP="004E2C14">
      <w:pPr>
        <w:pStyle w:val="ConsPlusNormal"/>
        <w:rPr>
          <w:rFonts w:ascii="Times New Roman" w:hAnsi="Times New Roman" w:cs="Times New Roman"/>
          <w:sz w:val="28"/>
          <w:szCs w:val="28"/>
        </w:rPr>
      </w:pPr>
    </w:p>
    <w:p w:rsidR="004E2C14" w:rsidRDefault="004E2C14" w:rsidP="004E2C14">
      <w:pPr>
        <w:ind w:firstLine="709"/>
        <w:jc w:val="both"/>
        <w:rPr>
          <w:color w:val="000000"/>
          <w:sz w:val="28"/>
          <w:szCs w:val="28"/>
        </w:rPr>
      </w:pPr>
      <w:r>
        <w:rPr>
          <w:color w:val="000000"/>
          <w:sz w:val="28"/>
          <w:szCs w:val="28"/>
        </w:rPr>
        <w:t>Общий объем субвенций бюджетам городских округов, муниципальных округов, муниципальных районов Ивановской области из областного бюджета на осуществление государственных полномочий по обеспечению жильем детей-сирот определяется по следующей формуле:</w:t>
      </w:r>
    </w:p>
    <w:p w:rsidR="004E2C14" w:rsidRDefault="004E2C14" w:rsidP="004E2C14">
      <w:pPr>
        <w:ind w:firstLine="709"/>
        <w:jc w:val="both"/>
        <w:rPr>
          <w:color w:val="000000"/>
          <w:sz w:val="28"/>
          <w:szCs w:val="28"/>
        </w:rPr>
      </w:pPr>
    </w:p>
    <w:p w:rsidR="004E2C14" w:rsidRDefault="004E2C14" w:rsidP="004E2C14">
      <w:pPr>
        <w:ind w:firstLine="709"/>
        <w:jc w:val="both"/>
        <w:rPr>
          <w:color w:val="000000"/>
          <w:sz w:val="28"/>
          <w:szCs w:val="28"/>
        </w:rPr>
      </w:pPr>
      <w:r>
        <w:rPr>
          <w:noProof/>
          <w:color w:val="000000"/>
          <w:sz w:val="28"/>
          <w:szCs w:val="28"/>
        </w:rPr>
        <w:drawing>
          <wp:inline distT="0" distB="0" distL="0" distR="0" wp14:anchorId="77C7514F" wp14:editId="4021A79A">
            <wp:extent cx="904875" cy="257175"/>
            <wp:effectExtent l="0" t="0" r="9525" b="9525"/>
            <wp:docPr id="7"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904875" cy="257175"/>
                    </a:xfrm>
                    <a:prstGeom prst="rect">
                      <a:avLst/>
                    </a:prstGeom>
                    <a:noFill/>
                    <a:ln>
                      <a:noFill/>
                    </a:ln>
                  </pic:spPr>
                </pic:pic>
              </a:graphicData>
            </a:graphic>
          </wp:inline>
        </w:drawing>
      </w:r>
    </w:p>
    <w:p w:rsidR="004E2C14" w:rsidRDefault="004E2C14" w:rsidP="004E2C14">
      <w:pPr>
        <w:ind w:firstLine="709"/>
        <w:jc w:val="both"/>
        <w:rPr>
          <w:color w:val="000000"/>
          <w:sz w:val="28"/>
          <w:szCs w:val="28"/>
        </w:rPr>
      </w:pPr>
    </w:p>
    <w:p w:rsidR="004E2C14" w:rsidRDefault="004E2C14" w:rsidP="004E2C14">
      <w:pPr>
        <w:ind w:firstLine="709"/>
        <w:jc w:val="both"/>
        <w:rPr>
          <w:color w:val="000000"/>
          <w:sz w:val="28"/>
          <w:szCs w:val="28"/>
        </w:rPr>
      </w:pPr>
      <w:r>
        <w:rPr>
          <w:color w:val="000000"/>
          <w:sz w:val="28"/>
          <w:szCs w:val="28"/>
        </w:rPr>
        <w:t>S - общий объем субвенций, предоставляемых из областного бюджета бюджетам городских округов, муниципальных округов и муниципальных районов Ивановской области на осуществление передаваемых государственных полномочий;</w:t>
      </w:r>
    </w:p>
    <w:p w:rsidR="004E2C14" w:rsidRDefault="004E2C14" w:rsidP="004E2C14">
      <w:pPr>
        <w:ind w:firstLine="709"/>
        <w:jc w:val="both"/>
        <w:rPr>
          <w:color w:val="000000"/>
          <w:sz w:val="28"/>
          <w:szCs w:val="28"/>
        </w:rPr>
      </w:pPr>
    </w:p>
    <w:p w:rsidR="004E2C14" w:rsidRDefault="004E2C14" w:rsidP="004E2C14">
      <w:pPr>
        <w:ind w:firstLine="709"/>
        <w:jc w:val="both"/>
        <w:rPr>
          <w:color w:val="000000"/>
          <w:sz w:val="28"/>
          <w:szCs w:val="28"/>
        </w:rPr>
      </w:pPr>
      <w:proofErr w:type="spellStart"/>
      <w:r>
        <w:rPr>
          <w:color w:val="000000"/>
          <w:sz w:val="28"/>
          <w:szCs w:val="28"/>
        </w:rPr>
        <w:t>Сi</w:t>
      </w:r>
      <w:proofErr w:type="spellEnd"/>
      <w:r>
        <w:rPr>
          <w:color w:val="000000"/>
          <w:sz w:val="28"/>
          <w:szCs w:val="28"/>
        </w:rPr>
        <w:t xml:space="preserve"> - размер субвенции, предоставляемой бюджету i-</w:t>
      </w:r>
      <w:proofErr w:type="spellStart"/>
      <w:r>
        <w:rPr>
          <w:color w:val="000000"/>
          <w:sz w:val="28"/>
          <w:szCs w:val="28"/>
        </w:rPr>
        <w:t>го</w:t>
      </w:r>
      <w:proofErr w:type="spellEnd"/>
      <w:r>
        <w:rPr>
          <w:color w:val="000000"/>
          <w:sz w:val="28"/>
          <w:szCs w:val="28"/>
        </w:rPr>
        <w:t xml:space="preserve"> городского округа, муниципального округа, муниципального района Ивановской области на осуществление передаваемых государственных полномочий, определяемый по следующей формуле:</w:t>
      </w:r>
    </w:p>
    <w:p w:rsidR="004E2C14" w:rsidRDefault="004E2C14" w:rsidP="004E2C14">
      <w:pPr>
        <w:ind w:firstLine="709"/>
        <w:jc w:val="both"/>
        <w:rPr>
          <w:color w:val="000000"/>
          <w:sz w:val="28"/>
          <w:szCs w:val="28"/>
        </w:rPr>
      </w:pPr>
    </w:p>
    <w:p w:rsidR="004E2C14" w:rsidRDefault="004E2C14" w:rsidP="004E2C14">
      <w:pPr>
        <w:ind w:firstLine="709"/>
        <w:jc w:val="both"/>
        <w:rPr>
          <w:color w:val="000000"/>
          <w:sz w:val="28"/>
          <w:szCs w:val="28"/>
        </w:rPr>
      </w:pPr>
      <w:proofErr w:type="spellStart"/>
      <w:r>
        <w:rPr>
          <w:color w:val="000000"/>
          <w:sz w:val="28"/>
          <w:szCs w:val="28"/>
        </w:rPr>
        <w:t>Сi</w:t>
      </w:r>
      <w:proofErr w:type="spellEnd"/>
      <w:r>
        <w:rPr>
          <w:color w:val="000000"/>
          <w:sz w:val="28"/>
          <w:szCs w:val="28"/>
        </w:rPr>
        <w:t xml:space="preserve"> = </w:t>
      </w:r>
      <w:proofErr w:type="spellStart"/>
      <w:r>
        <w:rPr>
          <w:color w:val="000000"/>
          <w:sz w:val="28"/>
          <w:szCs w:val="28"/>
        </w:rPr>
        <w:t>Чi</w:t>
      </w:r>
      <w:proofErr w:type="spellEnd"/>
      <w:r>
        <w:rPr>
          <w:color w:val="000000"/>
          <w:sz w:val="28"/>
          <w:szCs w:val="28"/>
        </w:rPr>
        <w:t xml:space="preserve"> x 33 кв. м x Н, где</w:t>
      </w:r>
    </w:p>
    <w:p w:rsidR="004E2C14" w:rsidRDefault="004E2C14" w:rsidP="004E2C14">
      <w:pPr>
        <w:ind w:firstLine="709"/>
        <w:jc w:val="both"/>
        <w:rPr>
          <w:color w:val="000000"/>
          <w:sz w:val="28"/>
          <w:szCs w:val="28"/>
        </w:rPr>
      </w:pPr>
    </w:p>
    <w:p w:rsidR="004E2C14" w:rsidRDefault="004E2C14" w:rsidP="004E2C14">
      <w:pPr>
        <w:ind w:firstLine="709"/>
        <w:jc w:val="both"/>
        <w:rPr>
          <w:color w:val="000000"/>
          <w:sz w:val="28"/>
          <w:szCs w:val="28"/>
        </w:rPr>
      </w:pPr>
      <w:bookmarkStart w:id="0" w:name="Par9"/>
      <w:bookmarkEnd w:id="0"/>
      <w:proofErr w:type="spellStart"/>
      <w:r>
        <w:rPr>
          <w:color w:val="000000"/>
          <w:sz w:val="28"/>
          <w:szCs w:val="28"/>
        </w:rPr>
        <w:t>Чi</w:t>
      </w:r>
      <w:proofErr w:type="spellEnd"/>
      <w:r>
        <w:rPr>
          <w:color w:val="000000"/>
          <w:sz w:val="28"/>
          <w:szCs w:val="28"/>
        </w:rPr>
        <w:t xml:space="preserve"> - численность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 на территории i-</w:t>
      </w:r>
      <w:proofErr w:type="spellStart"/>
      <w:r>
        <w:rPr>
          <w:color w:val="000000"/>
          <w:sz w:val="28"/>
          <w:szCs w:val="28"/>
        </w:rPr>
        <w:t>го</w:t>
      </w:r>
      <w:proofErr w:type="spellEnd"/>
      <w:r>
        <w:rPr>
          <w:color w:val="000000"/>
          <w:sz w:val="28"/>
          <w:szCs w:val="28"/>
        </w:rPr>
        <w:t xml:space="preserve"> городского округа, муниципального округа, муниципального района Ивановской области, включенных в список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 в соответствии с </w:t>
      </w:r>
      <w:hyperlink r:id="rId5" w:history="1">
        <w:r>
          <w:rPr>
            <w:rStyle w:val="a3"/>
            <w:color w:val="000000"/>
            <w:sz w:val="28"/>
            <w:szCs w:val="28"/>
          </w:rPr>
          <w:t>пунктом 1 статьи 8</w:t>
        </w:r>
      </w:hyperlink>
      <w:r>
        <w:rPr>
          <w:color w:val="000000"/>
          <w:sz w:val="28"/>
          <w:szCs w:val="28"/>
        </w:rPr>
        <w:t xml:space="preserve"> настоящего Закона, порядковый номер очередности которых по списку находится в пределах К;</w:t>
      </w:r>
    </w:p>
    <w:p w:rsidR="004E2C14" w:rsidRDefault="004E2C14" w:rsidP="004E2C14">
      <w:pPr>
        <w:ind w:firstLine="709"/>
        <w:jc w:val="both"/>
        <w:rPr>
          <w:color w:val="000000"/>
          <w:sz w:val="28"/>
          <w:szCs w:val="28"/>
        </w:rPr>
      </w:pPr>
    </w:p>
    <w:p w:rsidR="004E2C14" w:rsidRDefault="004E2C14" w:rsidP="004E2C14">
      <w:pPr>
        <w:ind w:firstLine="709"/>
        <w:jc w:val="both"/>
        <w:rPr>
          <w:color w:val="000000"/>
          <w:sz w:val="28"/>
          <w:szCs w:val="28"/>
        </w:rPr>
      </w:pPr>
      <w:r>
        <w:rPr>
          <w:color w:val="000000"/>
          <w:sz w:val="28"/>
          <w:szCs w:val="28"/>
        </w:rPr>
        <w:t>К - расчетное количество жилых помещений, приобретаемых в планируемом году, определяется по следующей формуле:</w:t>
      </w:r>
    </w:p>
    <w:p w:rsidR="004E2C14" w:rsidRDefault="004E2C14" w:rsidP="004E2C14">
      <w:pPr>
        <w:ind w:firstLine="709"/>
        <w:jc w:val="both"/>
        <w:rPr>
          <w:color w:val="000000"/>
          <w:sz w:val="28"/>
          <w:szCs w:val="28"/>
        </w:rPr>
      </w:pPr>
    </w:p>
    <w:p w:rsidR="004E2C14" w:rsidRDefault="004E2C14" w:rsidP="004E2C14">
      <w:pPr>
        <w:ind w:firstLine="709"/>
        <w:jc w:val="both"/>
        <w:rPr>
          <w:color w:val="000000"/>
          <w:sz w:val="28"/>
          <w:szCs w:val="28"/>
        </w:rPr>
      </w:pPr>
      <w:r>
        <w:rPr>
          <w:noProof/>
          <w:color w:val="000000"/>
          <w:sz w:val="28"/>
          <w:szCs w:val="28"/>
        </w:rPr>
        <w:drawing>
          <wp:inline distT="0" distB="0" distL="0" distR="0" wp14:anchorId="34874E51" wp14:editId="217428F2">
            <wp:extent cx="1400175" cy="428625"/>
            <wp:effectExtent l="0" t="0" r="9525"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00175" cy="428625"/>
                    </a:xfrm>
                    <a:prstGeom prst="rect">
                      <a:avLst/>
                    </a:prstGeom>
                    <a:noFill/>
                    <a:ln>
                      <a:noFill/>
                    </a:ln>
                  </pic:spPr>
                </pic:pic>
              </a:graphicData>
            </a:graphic>
          </wp:inline>
        </w:drawing>
      </w:r>
    </w:p>
    <w:p w:rsidR="004E2C14" w:rsidRDefault="004E2C14" w:rsidP="004E2C14">
      <w:pPr>
        <w:ind w:firstLine="709"/>
        <w:jc w:val="both"/>
        <w:rPr>
          <w:color w:val="000000"/>
          <w:sz w:val="28"/>
          <w:szCs w:val="28"/>
        </w:rPr>
      </w:pPr>
    </w:p>
    <w:p w:rsidR="004E2C14" w:rsidRDefault="004E2C14" w:rsidP="004E2C14">
      <w:pPr>
        <w:ind w:firstLine="709"/>
        <w:jc w:val="both"/>
        <w:rPr>
          <w:color w:val="000000"/>
          <w:sz w:val="28"/>
          <w:szCs w:val="28"/>
        </w:rPr>
      </w:pPr>
      <w:r>
        <w:rPr>
          <w:color w:val="000000"/>
          <w:sz w:val="28"/>
          <w:szCs w:val="28"/>
        </w:rPr>
        <w:t>S - сумма средств областного бюджета, предусмотренных на указанные цели в планируемом году;</w:t>
      </w:r>
    </w:p>
    <w:p w:rsidR="004E2C14" w:rsidRDefault="004E2C14" w:rsidP="004E2C14">
      <w:pPr>
        <w:ind w:firstLine="709"/>
        <w:jc w:val="both"/>
        <w:rPr>
          <w:color w:val="000000"/>
          <w:sz w:val="28"/>
          <w:szCs w:val="28"/>
        </w:rPr>
      </w:pPr>
    </w:p>
    <w:p w:rsidR="004E2C14" w:rsidRDefault="004E2C14" w:rsidP="004E2C14">
      <w:pPr>
        <w:ind w:firstLine="709"/>
        <w:jc w:val="both"/>
        <w:rPr>
          <w:color w:val="000000"/>
          <w:sz w:val="28"/>
          <w:szCs w:val="28"/>
        </w:rPr>
      </w:pPr>
      <w:r>
        <w:rPr>
          <w:color w:val="000000"/>
          <w:sz w:val="28"/>
          <w:szCs w:val="28"/>
        </w:rPr>
        <w:t>Н - показатель средней рыночной стоимости 1 кв. м общей площади жилого помещения по i-</w:t>
      </w:r>
      <w:proofErr w:type="spellStart"/>
      <w:r>
        <w:rPr>
          <w:color w:val="000000"/>
          <w:sz w:val="28"/>
          <w:szCs w:val="28"/>
        </w:rPr>
        <w:t>му</w:t>
      </w:r>
      <w:proofErr w:type="spellEnd"/>
      <w:r>
        <w:rPr>
          <w:color w:val="000000"/>
          <w:sz w:val="28"/>
          <w:szCs w:val="28"/>
        </w:rPr>
        <w:t xml:space="preserve"> городскому округу, муниципальному округу, муниципальному району Ивановской области, устанавливаемый органом местного самоуправления           i-</w:t>
      </w:r>
      <w:proofErr w:type="spellStart"/>
      <w:r>
        <w:rPr>
          <w:color w:val="000000"/>
          <w:sz w:val="28"/>
          <w:szCs w:val="28"/>
        </w:rPr>
        <w:t>го</w:t>
      </w:r>
      <w:proofErr w:type="spellEnd"/>
      <w:r>
        <w:rPr>
          <w:color w:val="000000"/>
          <w:sz w:val="28"/>
          <w:szCs w:val="28"/>
        </w:rPr>
        <w:t xml:space="preserve"> городского округа, муниципального округа, муниципального района Ивановской области в порядке, утвержденном Правительством Ивановской области, на III квартал года, предшествующего планируемому.</w:t>
      </w:r>
    </w:p>
    <w:p w:rsidR="004E2C14" w:rsidRDefault="004E2C14" w:rsidP="004E2C14">
      <w:pPr>
        <w:ind w:firstLine="709"/>
        <w:jc w:val="both"/>
        <w:rPr>
          <w:color w:val="000000"/>
          <w:sz w:val="28"/>
          <w:szCs w:val="28"/>
        </w:rPr>
      </w:pPr>
    </w:p>
    <w:p w:rsidR="004E2C14" w:rsidRDefault="004E2C14" w:rsidP="004E2C14">
      <w:pPr>
        <w:ind w:firstLine="709"/>
        <w:jc w:val="both"/>
        <w:rPr>
          <w:color w:val="000000"/>
          <w:sz w:val="28"/>
          <w:szCs w:val="28"/>
        </w:rPr>
      </w:pPr>
      <w:r>
        <w:rPr>
          <w:color w:val="000000"/>
          <w:sz w:val="28"/>
          <w:szCs w:val="28"/>
        </w:rPr>
        <w:t>Показателями (критериями) распределения общего объема субвенции между городскими округами, муниципальными округами и муниципальными районами Ивановской области на осуществление государственных полномочий по обеспечению жильем детей-сирот являются численность детей-сирот и детей, оставшихся без попечения родителей, лиц из числа детей-сирот и детей, оставшихся без попечения родителей, которые подлежат обеспечению жилыми помещениями на территории городского округа, муниципального округа, муниципального района Ивановской области в соответствующем году, и показатель средней рыночной стоимости 1 кв. м общей площади жилого помещения по городскому округу, муниципальному округу,  муниципальному району Ивановской области.</w:t>
      </w:r>
    </w:p>
    <w:p w:rsidR="004E2C14" w:rsidRDefault="004E2C14" w:rsidP="004E2C14">
      <w:pPr>
        <w:ind w:firstLine="709"/>
        <w:jc w:val="both"/>
        <w:rPr>
          <w:color w:val="000000"/>
          <w:sz w:val="28"/>
          <w:szCs w:val="28"/>
        </w:rPr>
      </w:pPr>
    </w:p>
    <w:p w:rsidR="004E2C14" w:rsidRDefault="004E2C14" w:rsidP="004E2C14">
      <w:pPr>
        <w:ind w:firstLine="709"/>
        <w:jc w:val="both"/>
        <w:rPr>
          <w:color w:val="000000"/>
          <w:sz w:val="28"/>
          <w:szCs w:val="28"/>
        </w:rPr>
      </w:pPr>
      <w:r>
        <w:rPr>
          <w:color w:val="000000"/>
          <w:sz w:val="28"/>
          <w:szCs w:val="28"/>
        </w:rPr>
        <w:t>Объем субвенции, подлежащий перечислению из областного бюджета бюджету i-</w:t>
      </w:r>
      <w:proofErr w:type="spellStart"/>
      <w:r>
        <w:rPr>
          <w:color w:val="000000"/>
          <w:sz w:val="28"/>
          <w:szCs w:val="28"/>
        </w:rPr>
        <w:t>го</w:t>
      </w:r>
      <w:proofErr w:type="spellEnd"/>
      <w:r>
        <w:rPr>
          <w:color w:val="000000"/>
          <w:sz w:val="28"/>
          <w:szCs w:val="28"/>
        </w:rPr>
        <w:t xml:space="preserve"> городского округа, муниципального округа, муниципального района Ивановской области, в случае принятия органом местного самоуправления i-</w:t>
      </w:r>
      <w:proofErr w:type="spellStart"/>
      <w:r>
        <w:rPr>
          <w:color w:val="000000"/>
          <w:sz w:val="28"/>
          <w:szCs w:val="28"/>
        </w:rPr>
        <w:t>го</w:t>
      </w:r>
      <w:proofErr w:type="spellEnd"/>
      <w:r>
        <w:rPr>
          <w:color w:val="000000"/>
          <w:sz w:val="28"/>
          <w:szCs w:val="28"/>
        </w:rPr>
        <w:t xml:space="preserve"> городского округа, муниципального округа, муниципального района Ивановской области денежного обязательства, соответствующего целям предоставления субвенций, определяется исходя из суммы, необходимой для оплаты указанного денежного обязательства, но не более суммы, рассчитанной исходя из норматива по показателю средней рыночной стоимости 1 кв. м общей площади жилого помещения, установленного органом местного самоуправления i-</w:t>
      </w:r>
      <w:proofErr w:type="spellStart"/>
      <w:r>
        <w:rPr>
          <w:color w:val="000000"/>
          <w:sz w:val="28"/>
          <w:szCs w:val="28"/>
        </w:rPr>
        <w:t>го</w:t>
      </w:r>
      <w:proofErr w:type="spellEnd"/>
      <w:r>
        <w:rPr>
          <w:color w:val="000000"/>
          <w:sz w:val="28"/>
          <w:szCs w:val="28"/>
        </w:rPr>
        <w:t xml:space="preserve"> городского округа, муниципального округа, муниципального района Ивановской области в порядке, утвержденном Правительством Ивановской области, на дату размещения извещения об осуществлении закупки жилых помещений, для последующего предоставления их лицам, указанным в </w:t>
      </w:r>
      <w:hyperlink r:id="rId7" w:anchor="Par9" w:history="1">
        <w:r>
          <w:rPr>
            <w:rStyle w:val="a3"/>
            <w:color w:val="000000"/>
            <w:sz w:val="28"/>
            <w:szCs w:val="28"/>
          </w:rPr>
          <w:t>абзаце шестом</w:t>
        </w:r>
      </w:hyperlink>
      <w:r>
        <w:rPr>
          <w:color w:val="000000"/>
          <w:sz w:val="28"/>
          <w:szCs w:val="28"/>
        </w:rPr>
        <w:t xml:space="preserve"> настоящей методики, и установленной нормы предоставления площади жилого помещения по договору социального найма по данному городскому округу, муниципальному округу, муниципальному району Ивановской области, но не более 33 квадратных метров, за исключением случаев, указанных в </w:t>
      </w:r>
      <w:hyperlink r:id="rId8" w:anchor="Par21" w:history="1">
        <w:r>
          <w:rPr>
            <w:rStyle w:val="a3"/>
            <w:color w:val="000000"/>
            <w:sz w:val="28"/>
            <w:szCs w:val="28"/>
          </w:rPr>
          <w:t>абзаце тринадцатом</w:t>
        </w:r>
      </w:hyperlink>
      <w:r>
        <w:rPr>
          <w:color w:val="000000"/>
          <w:sz w:val="28"/>
          <w:szCs w:val="28"/>
        </w:rPr>
        <w:t xml:space="preserve"> настоящей методики.</w:t>
      </w:r>
    </w:p>
    <w:p w:rsidR="004E2C14" w:rsidRDefault="004E2C14" w:rsidP="004E2C14">
      <w:pPr>
        <w:ind w:firstLine="709"/>
        <w:jc w:val="both"/>
        <w:rPr>
          <w:color w:val="000000"/>
          <w:sz w:val="28"/>
          <w:szCs w:val="28"/>
        </w:rPr>
      </w:pPr>
      <w:bookmarkStart w:id="1" w:name="Par21"/>
      <w:bookmarkEnd w:id="1"/>
    </w:p>
    <w:p w:rsidR="004E2C14" w:rsidRDefault="004E2C14" w:rsidP="004E2C14">
      <w:pPr>
        <w:ind w:firstLine="709"/>
        <w:jc w:val="both"/>
        <w:rPr>
          <w:color w:val="000000"/>
          <w:sz w:val="28"/>
          <w:szCs w:val="28"/>
        </w:rPr>
      </w:pPr>
      <w:r>
        <w:rPr>
          <w:color w:val="000000"/>
          <w:sz w:val="28"/>
          <w:szCs w:val="28"/>
        </w:rPr>
        <w:t>Объем субвенции, подлежащий перечислению из областного бюджета бюджету i-</w:t>
      </w:r>
      <w:proofErr w:type="spellStart"/>
      <w:r>
        <w:rPr>
          <w:color w:val="000000"/>
          <w:sz w:val="28"/>
          <w:szCs w:val="28"/>
        </w:rPr>
        <w:t>го</w:t>
      </w:r>
      <w:proofErr w:type="spellEnd"/>
      <w:r>
        <w:rPr>
          <w:color w:val="000000"/>
          <w:sz w:val="28"/>
          <w:szCs w:val="28"/>
        </w:rPr>
        <w:t xml:space="preserve"> городского округа, муниципального округа, муниципального района Ивановской области, в случае принятия органом местного самоуправления i-</w:t>
      </w:r>
      <w:proofErr w:type="spellStart"/>
      <w:r>
        <w:rPr>
          <w:color w:val="000000"/>
          <w:sz w:val="28"/>
          <w:szCs w:val="28"/>
        </w:rPr>
        <w:t>го</w:t>
      </w:r>
      <w:proofErr w:type="spellEnd"/>
      <w:r>
        <w:rPr>
          <w:color w:val="000000"/>
          <w:sz w:val="28"/>
          <w:szCs w:val="28"/>
        </w:rPr>
        <w:t xml:space="preserve"> городского округа, муниципального округа, муниципального района Ивановской области денежного обязательства, соответствующего целям предоставления субвенций, при наличии обстоятельств, предусмотренных </w:t>
      </w:r>
      <w:hyperlink r:id="rId9" w:history="1">
        <w:r>
          <w:rPr>
            <w:rStyle w:val="a3"/>
            <w:color w:val="000000"/>
            <w:sz w:val="28"/>
            <w:szCs w:val="28"/>
          </w:rPr>
          <w:t>абзацем вторым пункта 4 статьи 8</w:t>
        </w:r>
      </w:hyperlink>
      <w:r>
        <w:rPr>
          <w:color w:val="000000"/>
          <w:sz w:val="28"/>
          <w:szCs w:val="28"/>
        </w:rPr>
        <w:t xml:space="preserve"> настоящего Закона, определяется исходя из суммы, необходимой для оплаты указанного денежного обязательства, но не более суммы, рассчитанной исходя из норматива по показателю средней рыночной стоимости 1 кв. м общей площади жилого помещения, установленного в порядке, утвержденном Правительством Ивановской области, соответствующим органом местного самоуправления i-</w:t>
      </w:r>
      <w:proofErr w:type="spellStart"/>
      <w:r>
        <w:rPr>
          <w:color w:val="000000"/>
          <w:sz w:val="28"/>
          <w:szCs w:val="28"/>
        </w:rPr>
        <w:t>го</w:t>
      </w:r>
      <w:proofErr w:type="spellEnd"/>
      <w:r>
        <w:rPr>
          <w:color w:val="000000"/>
          <w:sz w:val="28"/>
          <w:szCs w:val="28"/>
        </w:rPr>
        <w:t xml:space="preserve"> городского округа, муниципального округа, муниципального района Ивановской области, на территории которого расположено приобретенное жилое помещение, на дату размещения извещения об осуществлении закупки жилых помещений, для последующего предоставления их лицам, указанным в </w:t>
      </w:r>
      <w:hyperlink r:id="rId10" w:anchor="Par9" w:history="1">
        <w:r>
          <w:rPr>
            <w:rStyle w:val="a3"/>
            <w:color w:val="000000"/>
            <w:sz w:val="28"/>
            <w:szCs w:val="28"/>
          </w:rPr>
          <w:t>абзаце шестом</w:t>
        </w:r>
      </w:hyperlink>
      <w:r>
        <w:rPr>
          <w:color w:val="000000"/>
          <w:sz w:val="28"/>
          <w:szCs w:val="28"/>
        </w:rPr>
        <w:t xml:space="preserve"> настоящей методики, и нормы предоставления площади жилого помещения по договору социального найма, установленной по i-</w:t>
      </w:r>
      <w:proofErr w:type="spellStart"/>
      <w:r>
        <w:rPr>
          <w:color w:val="000000"/>
          <w:sz w:val="28"/>
          <w:szCs w:val="28"/>
        </w:rPr>
        <w:t>му</w:t>
      </w:r>
      <w:proofErr w:type="spellEnd"/>
      <w:r>
        <w:rPr>
          <w:color w:val="000000"/>
          <w:sz w:val="28"/>
          <w:szCs w:val="28"/>
        </w:rPr>
        <w:t xml:space="preserve"> городскому округу, муниципальному округу, муниципальному району Ивановской области, органом местного самоуправления которого приобретено жилое помещение, но не более 33 квадратных метров.».</w:t>
      </w:r>
    </w:p>
    <w:p w:rsidR="004E2C14" w:rsidRDefault="004E2C14" w:rsidP="004E2C14">
      <w:pPr>
        <w:jc w:val="right"/>
      </w:pPr>
    </w:p>
    <w:p w:rsidR="004E2C14" w:rsidRDefault="004E2C14" w:rsidP="004E2C14">
      <w:pPr>
        <w:jc w:val="right"/>
      </w:pPr>
    </w:p>
    <w:p w:rsidR="004E2C14" w:rsidRDefault="004E2C14" w:rsidP="004E2C14">
      <w:pPr>
        <w:jc w:val="right"/>
      </w:pPr>
    </w:p>
    <w:p w:rsidR="004E2C14" w:rsidRDefault="004E2C14" w:rsidP="004E2C14">
      <w:pPr>
        <w:jc w:val="right"/>
      </w:pPr>
    </w:p>
    <w:p w:rsidR="004E2C14" w:rsidRDefault="004E2C14" w:rsidP="004E2C14">
      <w:pPr>
        <w:jc w:val="right"/>
      </w:pPr>
    </w:p>
    <w:p w:rsidR="004E2C14" w:rsidRDefault="004E2C14" w:rsidP="004E2C14">
      <w:pPr>
        <w:jc w:val="right"/>
      </w:pPr>
    </w:p>
    <w:p w:rsidR="004E2C14" w:rsidRDefault="004E2C14" w:rsidP="004E2C14">
      <w:pPr>
        <w:jc w:val="right"/>
      </w:pPr>
    </w:p>
    <w:p w:rsidR="004E2C14" w:rsidRDefault="004E2C14" w:rsidP="004E2C14">
      <w:pPr>
        <w:jc w:val="right"/>
      </w:pPr>
    </w:p>
    <w:p w:rsidR="004E2C14" w:rsidRDefault="004E2C14" w:rsidP="004E2C14">
      <w:pPr>
        <w:jc w:val="right"/>
      </w:pPr>
    </w:p>
    <w:p w:rsidR="004E2C14" w:rsidRDefault="004E2C14" w:rsidP="004E2C14">
      <w:pPr>
        <w:jc w:val="right"/>
      </w:pPr>
    </w:p>
    <w:p w:rsidR="00234B5A" w:rsidRDefault="00234B5A">
      <w:bookmarkStart w:id="2" w:name="_GoBack"/>
      <w:bookmarkEnd w:id="2"/>
    </w:p>
    <w:sectPr w:rsidR="00234B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C14"/>
    <w:rsid w:val="00234B5A"/>
    <w:rsid w:val="004E2C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C37480-40DC-4BF0-9E64-F7F802D08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2C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E2C14"/>
    <w:rPr>
      <w:color w:val="0563C1" w:themeColor="hyperlink"/>
      <w:u w:val="single"/>
    </w:rPr>
  </w:style>
  <w:style w:type="paragraph" w:customStyle="1" w:styleId="ConsPlusNormal">
    <w:name w:val="ConsPlusNormal"/>
    <w:rsid w:val="004E2C14"/>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889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U:\_&#1086;&#1073;&#1097;&#1080;&#1077;%20&#1076;&#1086;&#1082;&#1091;&#1084;&#1077;&#1085;&#1090;&#1099;\&#1054;&#1090;&#1088;&#1072;&#1089;&#1083;&#1077;&#1074;&#1086;&#1077;%20&#1092;&#1080;&#1085;&#1072;&#1085;&#1089;&#1080;&#1088;&#1086;&#1074;&#1072;&#1085;&#1080;&#1077;\&#1055;&#1056;&#1054;&#1045;&#1050;&#1058;%20&#1047;&#1040;&#1050;&#1054;&#1053;&#1040;%20&#1054;&#1073;%20&#1086;&#1073;&#1083;&#1072;&#1089;&#1090;&#1085;&#1086;&#1084;%20&#1073;&#1102;&#1076;&#1078;&#1077;&#1090;&#1077;%20&#1085;&#1072;%202026-2028%20&#1075;&#1075;\&#1052;&#1077;&#1090;&#1086;&#1076;&#1080;&#1082;&#1080;%20&#1088;&#1072;&#1089;&#1087;&#1088;&#1077;&#1076;&#1077;&#1083;&#1077;&#1085;&#1080;&#1103;%20&#1052;&#1041;&#1058;\&#1044;&#1057;&#1047;&#1053;\&#1055;&#1080;&#1089;&#1100;&#1084;&#1086;%20%20&#1082;%20&#1087;&#1088;&#1086;&#1077;&#1082;&#1090;&#1091;%20&#1089;%20&#1091;&#1095;&#1077;&#1090;&#1086;&#1084;%20&#1087;&#1088;&#1072;&#1074;&#1086;&#1082;.docx" TargetMode="External"/><Relationship Id="rId3" Type="http://schemas.openxmlformats.org/officeDocument/2006/relationships/webSettings" Target="webSettings.xml"/><Relationship Id="rId7" Type="http://schemas.openxmlformats.org/officeDocument/2006/relationships/hyperlink" Target="file:///U:\_&#1086;&#1073;&#1097;&#1080;&#1077;%20&#1076;&#1086;&#1082;&#1091;&#1084;&#1077;&#1085;&#1090;&#1099;\&#1054;&#1090;&#1088;&#1072;&#1089;&#1083;&#1077;&#1074;&#1086;&#1077;%20&#1092;&#1080;&#1085;&#1072;&#1085;&#1089;&#1080;&#1088;&#1086;&#1074;&#1072;&#1085;&#1080;&#1077;\&#1055;&#1056;&#1054;&#1045;&#1050;&#1058;%20&#1047;&#1040;&#1050;&#1054;&#1053;&#1040;%20&#1054;&#1073;%20&#1086;&#1073;&#1083;&#1072;&#1089;&#1090;&#1085;&#1086;&#1084;%20&#1073;&#1102;&#1076;&#1078;&#1077;&#1090;&#1077;%20&#1085;&#1072;%202026-2028%20&#1075;&#1075;\&#1052;&#1077;&#1090;&#1086;&#1076;&#1080;&#1082;&#1080;%20&#1088;&#1072;&#1089;&#1087;&#1088;&#1077;&#1076;&#1077;&#1083;&#1077;&#1085;&#1080;&#1103;%20&#1052;&#1041;&#1058;\&#1044;&#1057;&#1047;&#1053;\&#1055;&#1080;&#1089;&#1100;&#1084;&#1086;%20%20&#1082;%20&#1087;&#1088;&#1086;&#1077;&#1082;&#1090;&#1091;%20&#1089;%20&#1091;&#1095;&#1077;&#1090;&#1086;&#1084;%20&#1087;&#1088;&#1072;&#1074;&#1086;&#1082;.docx"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fontTable" Target="fontTable.xml"/><Relationship Id="rId5" Type="http://schemas.openxmlformats.org/officeDocument/2006/relationships/hyperlink" Target="https://login.consultant.ru/link/?req=doc&amp;base=RLAW224&amp;n=185283&amp;dst=100264" TargetMode="External"/><Relationship Id="rId10" Type="http://schemas.openxmlformats.org/officeDocument/2006/relationships/hyperlink" Target="file:///U:\_&#1086;&#1073;&#1097;&#1080;&#1077;%20&#1076;&#1086;&#1082;&#1091;&#1084;&#1077;&#1085;&#1090;&#1099;\&#1054;&#1090;&#1088;&#1072;&#1089;&#1083;&#1077;&#1074;&#1086;&#1077;%20&#1092;&#1080;&#1085;&#1072;&#1085;&#1089;&#1080;&#1088;&#1086;&#1074;&#1072;&#1085;&#1080;&#1077;\&#1055;&#1056;&#1054;&#1045;&#1050;&#1058;%20&#1047;&#1040;&#1050;&#1054;&#1053;&#1040;%20&#1054;&#1073;%20&#1086;&#1073;&#1083;&#1072;&#1089;&#1090;&#1085;&#1086;&#1084;%20&#1073;&#1102;&#1076;&#1078;&#1077;&#1090;&#1077;%20&#1085;&#1072;%202026-2028%20&#1075;&#1075;\&#1052;&#1077;&#1090;&#1086;&#1076;&#1080;&#1082;&#1080;%20&#1088;&#1072;&#1089;&#1087;&#1088;&#1077;&#1076;&#1077;&#1083;&#1077;&#1085;&#1080;&#1103;%20&#1052;&#1041;&#1058;\&#1044;&#1057;&#1047;&#1053;\&#1055;&#1080;&#1089;&#1100;&#1084;&#1086;%20%20&#1082;%20&#1087;&#1088;&#1086;&#1077;&#1082;&#1090;&#1091;%20&#1089;%20&#1091;&#1095;&#1077;&#1090;&#1086;&#1084;%20&#1087;&#1088;&#1072;&#1074;&#1086;&#1082;.docx" TargetMode="External"/><Relationship Id="rId4" Type="http://schemas.openxmlformats.org/officeDocument/2006/relationships/image" Target="media/image1.wmf"/><Relationship Id="rId9" Type="http://schemas.openxmlformats.org/officeDocument/2006/relationships/hyperlink" Target="https://login.consultant.ru/link/?req=doc&amp;base=RLAW224&amp;n=185283&amp;dst=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1020</Words>
  <Characters>5815</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Бородулина Светлана Александровна</dc:creator>
  <cp:keywords/>
  <dc:description/>
  <cp:lastModifiedBy>Бородулина Светлана Александровна</cp:lastModifiedBy>
  <cp:revision>1</cp:revision>
  <dcterms:created xsi:type="dcterms:W3CDTF">2025-10-06T07:59:00Z</dcterms:created>
  <dcterms:modified xsi:type="dcterms:W3CDTF">2025-10-06T08:01:00Z</dcterms:modified>
</cp:coreProperties>
</file>